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bookmarkStart w:id="0" w:name="__DdeLink__5_528138994"/>
      <w:r>
        <w:rPr>
          <w:sz w:val="30"/>
          <w:szCs w:val="30"/>
        </w:rPr>
        <w:t>КоАП РФ, Статья 20.4.</w:t>
      </w:r>
      <w:bookmarkEnd w:id="0"/>
      <w:r>
        <w:rPr>
          <w:sz w:val="30"/>
          <w:szCs w:val="30"/>
        </w:rPr>
        <w:t xml:space="preserve"> Нарушение </w:t>
      </w:r>
      <w:hyperlink r:id="rId2">
        <w:r>
          <w:rPr>
            <w:rStyle w:val="Style13"/>
            <w:sz w:val="30"/>
            <w:szCs w:val="30"/>
          </w:rPr>
          <w:t>требований</w:t>
        </w:r>
      </w:hyperlink>
      <w:r>
        <w:rPr>
          <w:sz w:val="30"/>
          <w:szCs w:val="30"/>
        </w:rPr>
        <w:t xml:space="preserve"> пожарной безопасности </w:t>
      </w:r>
    </w:p>
    <w:p>
      <w:pPr>
        <w:pStyle w:val="Style15"/>
        <w:jc w:val="center"/>
        <w:rPr>
          <w:sz w:val="30"/>
          <w:szCs w:val="30"/>
        </w:rPr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" w:name="bkimg_cr"/>
      <w:bookmarkEnd w:id="1"/>
      <w:r>
        <w:rPr>
          <w:highlight w:val="yellow"/>
        </w:rPr>
        <w:t xml:space="preserve">1. Нарушение требований пожарной безопасности, за исключением случаев, предусмотренных </w:t>
      </w:r>
      <w:r>
        <w:fldChar w:fldCharType="begin"/>
      </w:r>
      <w:r>
        <w:instrText> HYPERLINK "http://www.consultant.ru/document/cons_doc_LAW_34661/3451df28a5d84be6817928ab88c3da04bb25404e/" \l "dst2431"</w:instrText>
      </w:r>
      <w:r>
        <w:fldChar w:fldCharType="separate"/>
      </w:r>
      <w:r>
        <w:rPr>
          <w:rStyle w:val="Style13"/>
          <w:highlight w:val="yellow"/>
        </w:rPr>
        <w:t>статьями 8.32</w:t>
      </w:r>
      <w:r>
        <w:fldChar w:fldCharType="end"/>
      </w:r>
      <w:r>
        <w:rPr>
          <w:highlight w:val="yellow"/>
        </w:rPr>
        <w:t xml:space="preserve">, </w:t>
      </w:r>
      <w:r>
        <w:fldChar w:fldCharType="begin"/>
      </w:r>
      <w:r>
        <w:instrText> HYPERLINK "http://www.consultant.ru/document/cons_doc_LAW_34661/be5354a8079bd0b55f654308b9c4a5b2d08c18de/" \l "dst1506"</w:instrText>
      </w:r>
      <w:r>
        <w:fldChar w:fldCharType="separate"/>
      </w:r>
      <w:r>
        <w:rPr>
          <w:rStyle w:val="Style13"/>
          <w:highlight w:val="yellow"/>
        </w:rPr>
        <w:t>11.16</w:t>
      </w:r>
      <w:r>
        <w:fldChar w:fldCharType="end"/>
      </w:r>
      <w:r>
        <w:rPr>
          <w:highlight w:val="yellow"/>
        </w:rPr>
        <w:t xml:space="preserve"> настоящего Кодекса и </w:t>
      </w:r>
      <w:r>
        <w:fldChar w:fldCharType="begin"/>
      </w:r>
      <w:r>
        <w:instrText> HYPERLINK "http://www.consultant.ru/document/cons_doc_LAW_34661/9a42a7dcbc6d4d4b091d2e491b723161b4912163/" \l "dst2691"</w:instrText>
      </w:r>
      <w:r>
        <w:fldChar w:fldCharType="separate"/>
      </w:r>
      <w:r>
        <w:rPr>
          <w:rStyle w:val="Style13"/>
          <w:highlight w:val="yellow"/>
        </w:rPr>
        <w:t>частями 3</w:t>
      </w:r>
      <w:r>
        <w:fldChar w:fldCharType="end"/>
      </w:r>
      <w:r>
        <w:rPr>
          <w:highlight w:val="yellow"/>
        </w:rPr>
        <w:t xml:space="preserve"> - </w:t>
      </w:r>
      <w:r>
        <w:fldChar w:fldCharType="begin"/>
      </w:r>
      <w:r>
        <w:instrText> HYPERLINK "http://www.consultant.ru/document/cons_doc_LAW_34661/9a42a7dcbc6d4d4b091d2e491b723161b4912163/" \l "dst2701"</w:instrText>
      </w:r>
      <w:r>
        <w:fldChar w:fldCharType="separate"/>
      </w:r>
      <w:r>
        <w:rPr>
          <w:rStyle w:val="Style13"/>
          <w:highlight w:val="yellow"/>
        </w:rPr>
        <w:t>8</w:t>
      </w:r>
      <w:r>
        <w:fldChar w:fldCharType="end"/>
      </w:r>
      <w:r>
        <w:rPr>
          <w:highlight w:val="yellow"/>
        </w:rPr>
        <w:t xml:space="preserve"> настоящей статьи, -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шести тысяч до пятнадцати тысяч рублей; на юридических лиц - от ста пятидесяти тысяч до двухсот тысяч рублей.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2" w:name="bkimg_cr1"/>
      <w:bookmarkEnd w:id="2"/>
      <w:r>
        <w:rPr/>
        <w:t xml:space="preserve">2. Те же действия, совершенные в условиях </w:t>
      </w:r>
      <w:r>
        <w:fldChar w:fldCharType="begin"/>
      </w:r>
      <w:r>
        <w:instrText> HYPERLINK "http://www.consultant.ru/document/cons_doc_LAW_5438/2dafcc9f8f2d8b800512e96ec8914d9155752f96/" \l "dst100306"</w:instrText>
      </w:r>
      <w:r>
        <w:fldChar w:fldCharType="separate"/>
      </w:r>
      <w:r>
        <w:rPr>
          <w:rStyle w:val="Style13"/>
        </w:rPr>
        <w:t>особого противопожарного режима</w:t>
      </w:r>
      <w:r>
        <w:fldChar w:fldCharType="end"/>
      </w:r>
      <w:r>
        <w:rPr/>
        <w:t xml:space="preserve">, -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3" w:name="bkimg_cr2"/>
      <w:bookmarkEnd w:id="3"/>
      <w:r>
        <w:rPr/>
        <w:t xml:space="preserve">3. Нарушение требований пожарной безопасности к внутреннему противопожарному водоснабжению, электроустановкам зданий, сооружений и строений, электротехнической продукции или первичным средствам пожаротушения либо требований пожарной безопасности об обеспечении зданий, сооружений и строений первичными средствами пожаротушения -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влечет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4. Нарушение требований пожарной безопасности к эвакуационным путям, эвакуационным и аварийным выходам либо системам автоматического пожаротушения и системам пожарной сигнализации, системам оповещения людей о пожаре и управления эвакуацией людей в зданиях, сооружениях и строениях или системам противодымной защиты зданий, сооружений и строений -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пятидесяти тысяч до двухсот тысяч рублей.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 xml:space="preserve">5. Повторное совершение административного правонарушения, предусмотренного </w:t>
      </w:r>
      <w:r>
        <w:fldChar w:fldCharType="begin"/>
      </w:r>
      <w:r>
        <w:instrText> HYPERLINK "http://www.consultant.ru/document/cons_doc_LAW_34661/9a42a7dcbc6d4d4b091d2e491b723161b4912163/" \l "dst2691"</w:instrText>
      </w:r>
      <w:r>
        <w:fldChar w:fldCharType="separate"/>
      </w:r>
      <w:r>
        <w:rPr>
          <w:rStyle w:val="Style13"/>
        </w:rPr>
        <w:t>частью 3</w:t>
      </w:r>
      <w:r>
        <w:fldChar w:fldCharType="end"/>
      </w:r>
      <w:r>
        <w:rPr/>
        <w:t xml:space="preserve"> или </w:t>
      </w:r>
      <w:r>
        <w:fldChar w:fldCharType="begin"/>
      </w:r>
      <w:r>
        <w:instrText> HYPERLINK "http://www.consultant.ru/document/cons_doc_LAW_34661/9a42a7dcbc6d4d4b091d2e491b723161b4912163/" \l "dst2693"</w:instrText>
      </w:r>
      <w:r>
        <w:fldChar w:fldCharType="separate"/>
      </w:r>
      <w:r>
        <w:rPr>
          <w:rStyle w:val="Style13"/>
        </w:rPr>
        <w:t>4</w:t>
      </w:r>
      <w:r>
        <w:fldChar w:fldCharType="end"/>
      </w:r>
      <w:r>
        <w:rPr/>
        <w:t xml:space="preserve"> настоящей статьи, -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влечет наложение административного штрафа на граждан в размере от четырех тысяч до пяти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четырехсот тысяч рублей или административное приостановление деятельности на срок до девяноста суток.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-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4" w:name="bkimg_cr3"/>
      <w:bookmarkEnd w:id="4"/>
      <w:r>
        <w:rPr/>
        <w:t xml:space="preserve">8. Нарушение требований пожарной безопасности об обеспечении проходов, проездов и подъездов к зданиям, сооружениям и строениям -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влечет наложение административного штрафа на граждан в размере от одной тысячи пятисот до двух тысяч рублей; на должностных лиц - от семи тысяч до десяти тысяч рублей; на юридических лиц - от ста двадцати тысяч до ста пятидесяти тысяч рублей.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106125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LibreOffice/5.1.4.2$Linux_X86_64 LibreOffice_project/10m0$Build-2</Application>
  <Pages>2</Pages>
  <Words>623</Words>
  <Characters>3922</Characters>
  <CharactersWithSpaces>4531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2016-10-18T23:21:53Z</dcterms:created>
  <dc:creator/>
  <dc:description/>
  <dc:language>ru-RU</dc:language>
  <cp:lastModifiedBy/>
  <dcterms:modified xsi:type="dcterms:W3CDTF">2016-10-18T23:24:30Z</dcterms:modified>
  <cp:revision>1</cp:revision>
  <dc:subject/>
  <dc:title/>
</cp:coreProperties>
</file>