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30"/>
          <w:szCs w:val="30"/>
        </w:rPr>
      </w:pPr>
      <w:bookmarkStart w:id="0" w:name="__DdeLink__1_681380136"/>
      <w:r>
        <w:rPr>
          <w:sz w:val="30"/>
          <w:szCs w:val="30"/>
        </w:rPr>
        <w:t>КоАП РФ, Статья 9.11</w:t>
      </w:r>
      <w:bookmarkEnd w:id="0"/>
      <w:r>
        <w:rPr>
          <w:sz w:val="30"/>
          <w:szCs w:val="30"/>
        </w:rPr>
        <w:t xml:space="preserve">.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 xml:space="preserve">Нарушение правил пользования топливом, электрической и тепловой энергией, </w:t>
      </w:r>
      <w:hyperlink r:id="rId2">
        <w:r>
          <w:rPr>
            <w:rStyle w:val="Style13"/>
            <w:highlight w:val="yellow"/>
          </w:rPr>
          <w:t>правил</w:t>
        </w:r>
      </w:hyperlink>
      <w:r>
        <w:rPr>
          <w:highlight w:val="yellow"/>
        </w:rPr>
        <w:t xml:space="preserve">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четырех тысяч рублей; на лиц, осуществляющих предпринимательскую деятельность без образования юридического лица, - от двух тысяч до четырех тысяч рублей или административное приостановление деятельности на срок до девяноста суток; на юридических лиц - от двадцати тысяч до сорока тысяч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9846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</Pages>
  <Words>135</Words>
  <Characters>962</Characters>
  <CharactersWithSpaces>1095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2016-10-18T23:25:31Z</dcterms:created>
  <dc:creator/>
  <dc:description/>
  <dc:language>ru-RU</dc:language>
  <cp:lastModifiedBy/>
  <dcterms:modified xsi:type="dcterms:W3CDTF">2016-10-18T23:26:48Z</dcterms:modified>
  <cp:revision>1</cp:revision>
  <dc:subject/>
  <dc:title/>
</cp:coreProperties>
</file>